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DED5" w14:textId="77777777" w:rsidR="00504514" w:rsidRPr="00500E8C" w:rsidRDefault="00504514" w:rsidP="00373310">
      <w:pPr>
        <w:rPr>
          <w:rFonts w:ascii="Arial" w:hAnsi="Arial" w:cs="Arial"/>
          <w:sz w:val="22"/>
          <w:szCs w:val="22"/>
        </w:rPr>
      </w:pPr>
    </w:p>
    <w:p w14:paraId="2F4FC18B" w14:textId="2DADE207" w:rsidR="00373310" w:rsidRPr="00500E8C" w:rsidRDefault="00373310" w:rsidP="00834DE6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>Report form</w:t>
      </w:r>
      <w:r w:rsidR="00E84108"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sz w:val="22"/>
          <w:szCs w:val="22"/>
        </w:rPr>
        <w:t xml:space="preserve">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500E8C">
        <w:rPr>
          <w:rFonts w:ascii="Arial" w:hAnsi="Arial" w:cs="Arial"/>
          <w:b/>
          <w:sz w:val="22"/>
          <w:szCs w:val="22"/>
        </w:rPr>
        <w:t>#</w:t>
      </w:r>
      <w:r w:rsidR="00E84108" w:rsidRPr="00500E8C">
        <w:rPr>
          <w:rFonts w:ascii="Arial" w:hAnsi="Arial" w:cs="Arial"/>
          <w:b/>
          <w:sz w:val="22"/>
          <w:szCs w:val="22"/>
        </w:rPr>
        <w:t>2</w:t>
      </w:r>
      <w:r w:rsidR="000574B8">
        <w:rPr>
          <w:rFonts w:ascii="Arial" w:hAnsi="Arial" w:cs="Arial"/>
          <w:b/>
          <w:sz w:val="22"/>
          <w:szCs w:val="22"/>
        </w:rPr>
        <w:t>4</w:t>
      </w:r>
      <w:r w:rsidR="00446C26">
        <w:rPr>
          <w:rFonts w:ascii="Arial" w:hAnsi="Arial" w:cs="Arial"/>
          <w:b/>
          <w:sz w:val="22"/>
          <w:szCs w:val="22"/>
        </w:rPr>
        <w:t>19</w:t>
      </w:r>
      <w:r w:rsidR="000574B8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3935F809" w14:textId="77777777" w:rsidTr="00FC152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500E8C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782F72D4" w14:textId="77777777" w:rsidTr="00FC1524">
        <w:trPr>
          <w:trHeight w:hRule="exact" w:val="567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4559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Acidity as Acetic Acid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6795539" w14:textId="1A592646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E2679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7516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A091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E2679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BDE86" w14:textId="04F4AE79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477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564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00FC97C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34E6E86A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4F552B52" w14:textId="062FE5EC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D1613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6BCFD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105565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A9070B" w14:textId="39D6053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87FF48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EBF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984115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8B1456D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Aldehydes as Acetaldehyde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3C16D5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8BBAA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E2313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858187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C6C32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9388D7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57CE9B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5981D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41DE2AC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Ash content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8DC33D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87E46F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D482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53580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64FF5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3A4EE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94C4F73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E2469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27166F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360336E9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m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anual)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323BCB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386DD75" w14:textId="23F7E09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a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utomated)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EA83EF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424A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D5386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8F7A7B" w14:textId="3F092BF0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5A89A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A60157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17AF16A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76FD61F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CE130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B5BCFD" w14:textId="77777777" w:rsidTr="00FC1524">
        <w:trPr>
          <w:trHeight w:hRule="exact" w:val="340"/>
        </w:trPr>
        <w:tc>
          <w:tcPr>
            <w:tcW w:w="28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8C5AA7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Diethylene Glycol</w:t>
            </w:r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EAF21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16592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E2409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72710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67BF7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29E7FE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4B3CD6C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1FF4DA" w14:textId="7636D205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7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24964FB" w14:textId="30025F38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CE1301" w:rsidRPr="00500E8C" w14:paraId="09ED23CF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DC72B6" w14:textId="44E2F8F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99F16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C8E94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A44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187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910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1428C13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3AD9507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7D21B9E9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27432D9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E0DA87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6A9D285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4C5DEE2F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E1615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2D3367E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11E61F67" w14:textId="25C69A3C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</w:t>
            </w:r>
            <w:r w:rsidRPr="00500E8C">
              <w:rPr>
                <w:rFonts w:ascii="Arial" w:hAnsi="Arial" w:cs="Arial"/>
                <w:sz w:val="20"/>
              </w:rPr>
              <w:t>iscibility (Hydrocarbons)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4F5A5B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4A27C8" w14:textId="31D7247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EE4EB83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2BE1D8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18412D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1A109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CEB8C94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45F2481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Specific Gravity 20/20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206C42D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1B7E4CD" w14:textId="77777777" w:rsidR="00446C26" w:rsidRDefault="00804014" w:rsidP="00804014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8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5A2BE9D" w14:textId="494F4932" w:rsidR="00804014" w:rsidRPr="00C36E82" w:rsidRDefault="00804014" w:rsidP="0080401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Pr="00500E8C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5C69BEF5" w:rsidR="00B401C3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FCFA42E" w14:textId="77777777" w:rsidR="00504514" w:rsidRPr="00500E8C" w:rsidRDefault="00504514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CC94ED" w14:textId="77777777" w:rsidR="008E23FF" w:rsidRPr="00500E8C" w:rsidRDefault="008E23FF" w:rsidP="008E23FF">
      <w:pPr>
        <w:rPr>
          <w:b/>
          <w:bCs/>
          <w:sz w:val="22"/>
          <w:szCs w:val="22"/>
        </w:rPr>
      </w:pPr>
      <w:r w:rsidRPr="00500E8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C92EDA5" w14:textId="77777777" w:rsidR="00E84108" w:rsidRPr="00500E8C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500E8C" w:rsidRDefault="00886F77" w:rsidP="00886F77">
      <w:pPr>
        <w:rPr>
          <w:lang w:val="en-US"/>
        </w:rPr>
      </w:pPr>
      <w:r w:rsidRPr="00500E8C">
        <w:rPr>
          <w:lang w:val="en-US"/>
        </w:rPr>
        <w:br w:type="page"/>
      </w:r>
    </w:p>
    <w:p w14:paraId="418EC4AA" w14:textId="3BDA571F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0DA747CA" w14:textId="77777777" w:rsidR="00191220" w:rsidRDefault="00191220" w:rsidP="00975C1C">
      <w:pPr>
        <w:rPr>
          <w:rFonts w:ascii="Arial" w:hAnsi="Arial" w:cs="Arial"/>
          <w:sz w:val="22"/>
          <w:szCs w:val="22"/>
        </w:rPr>
      </w:pPr>
    </w:p>
    <w:p w14:paraId="1D1B7E9C" w14:textId="121012A0" w:rsidR="00975C1C" w:rsidRPr="00500E8C" w:rsidRDefault="00975C1C" w:rsidP="00975C1C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>sample</w:t>
      </w:r>
      <w:r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b/>
          <w:sz w:val="22"/>
          <w:szCs w:val="22"/>
        </w:rPr>
        <w:t>#</w:t>
      </w:r>
      <w:r w:rsidR="00446C26">
        <w:rPr>
          <w:rFonts w:ascii="Arial" w:hAnsi="Arial" w:cs="Arial"/>
          <w:b/>
          <w:sz w:val="22"/>
          <w:szCs w:val="22"/>
        </w:rPr>
        <w:t>2</w:t>
      </w:r>
      <w:r w:rsidR="00D56275">
        <w:rPr>
          <w:rFonts w:ascii="Arial" w:hAnsi="Arial" w:cs="Arial"/>
          <w:b/>
          <w:sz w:val="22"/>
          <w:szCs w:val="22"/>
        </w:rPr>
        <w:t>4</w:t>
      </w:r>
      <w:r w:rsidR="00446C26">
        <w:rPr>
          <w:rFonts w:ascii="Arial" w:hAnsi="Arial" w:cs="Arial"/>
          <w:b/>
          <w:sz w:val="22"/>
          <w:szCs w:val="22"/>
        </w:rPr>
        <w:t>19</w:t>
      </w:r>
      <w:r w:rsidR="00D56275">
        <w:rPr>
          <w:rFonts w:ascii="Arial" w:hAnsi="Arial" w:cs="Arial"/>
          <w:b/>
          <w:sz w:val="22"/>
          <w:szCs w:val="22"/>
        </w:rPr>
        <w:t>6</w:t>
      </w:r>
    </w:p>
    <w:p w14:paraId="4263B025" w14:textId="05694C85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33A92BF6" w14:textId="77777777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2C6CD7CD" w14:textId="77777777" w:rsidR="0074340F" w:rsidRPr="00500E8C" w:rsidRDefault="0074340F" w:rsidP="0074340F">
      <w:pPr>
        <w:spacing w:after="60"/>
        <w:ind w:right="-567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>Nitrogen sparging of the sample</w:t>
      </w:r>
      <w:r w:rsidRPr="00500E8C">
        <w:rPr>
          <w:rFonts w:ascii="Arial" w:hAnsi="Arial" w:cs="Arial"/>
          <w:sz w:val="22"/>
          <w:szCs w:val="22"/>
          <w:lang w:val="en-GB"/>
        </w:rPr>
        <w:t xml:space="preserve"> (Option A of ASTM E2193) 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50009749" w14:textId="77777777" w:rsidTr="0080401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669FA49F" w14:textId="35EADE04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157B4520" w14:textId="4ADCA99C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35179C8A" w14:textId="1D478925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65DD31A6" w14:textId="2E30F38E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3C72ACF1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9215DC4" w14:textId="1661757E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5D88F53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FF623C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0171154" w14:textId="53684DA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1B1953F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41B8A83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51" w:type="dxa"/>
            <w:vAlign w:val="center"/>
          </w:tcPr>
          <w:p w14:paraId="6419C72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39" w:type="dxa"/>
            <w:vAlign w:val="center"/>
          </w:tcPr>
          <w:p w14:paraId="4BFB05F4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8203E19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7FB4AD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4E7289B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CBB824C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35B736EC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51" w:type="dxa"/>
            <w:vAlign w:val="center"/>
          </w:tcPr>
          <w:p w14:paraId="50C2CFC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CAAE408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22FAEAB6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F0B1FD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38D209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3794DB5D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708287B5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51" w:type="dxa"/>
            <w:vAlign w:val="center"/>
          </w:tcPr>
          <w:p w14:paraId="5A9D0C62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5F0FF84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198744B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564118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B02055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9BFDA1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64B04E0F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51" w:type="dxa"/>
            <w:vAlign w:val="center"/>
          </w:tcPr>
          <w:p w14:paraId="5AAF760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184FEFEB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4DB3CA2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55E6A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220A75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4D5108B8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201E946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51" w:type="dxa"/>
            <w:vAlign w:val="center"/>
          </w:tcPr>
          <w:p w14:paraId="502EEF8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33A8FBC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74CF7E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573878B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2C7CDDA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A4BB55B" w14:textId="77777777" w:rsidR="00446C26" w:rsidRDefault="00804014" w:rsidP="00446C26">
      <w:pPr>
        <w:tabs>
          <w:tab w:val="left" w:pos="0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9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B57335" w14:textId="0225416D" w:rsidR="00804014" w:rsidRPr="00500E8C" w:rsidRDefault="00804014" w:rsidP="00446C26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p w14:paraId="26043239" w14:textId="7C084532" w:rsidR="00E84108" w:rsidRPr="00804014" w:rsidRDefault="00E84108" w:rsidP="00454D3A">
      <w:pPr>
        <w:rPr>
          <w:sz w:val="22"/>
          <w:szCs w:val="22"/>
          <w:lang w:val="en-GB"/>
        </w:rPr>
      </w:pPr>
    </w:p>
    <w:p w14:paraId="64537E48" w14:textId="72207861" w:rsidR="0074340F" w:rsidRPr="00500E8C" w:rsidRDefault="0074340F" w:rsidP="00454D3A">
      <w:pPr>
        <w:rPr>
          <w:sz w:val="22"/>
          <w:szCs w:val="22"/>
        </w:rPr>
      </w:pPr>
    </w:p>
    <w:p w14:paraId="66D1603F" w14:textId="77777777" w:rsidR="0074340F" w:rsidRPr="00500E8C" w:rsidRDefault="0074340F" w:rsidP="0074340F">
      <w:pPr>
        <w:tabs>
          <w:tab w:val="left" w:pos="720"/>
          <w:tab w:val="left" w:pos="3402"/>
        </w:tabs>
        <w:spacing w:after="60"/>
        <w:outlineLvl w:val="0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 xml:space="preserve">No nitrogen sparging </w:t>
      </w:r>
      <w:r w:rsidRPr="00500E8C">
        <w:rPr>
          <w:rFonts w:ascii="Arial" w:hAnsi="Arial" w:cs="Arial"/>
          <w:sz w:val="22"/>
          <w:szCs w:val="22"/>
          <w:lang w:val="en-GB"/>
        </w:rPr>
        <w:t>(Option B of ASTM E2193)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733E881B" w14:textId="77777777" w:rsidTr="00FC1524">
        <w:trPr>
          <w:trHeight w:val="20"/>
        </w:trPr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</w:tcPr>
          <w:p w14:paraId="09664A33" w14:textId="54214706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34393CED" w14:textId="1317E4F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</w:tcPr>
          <w:p w14:paraId="12E324FF" w14:textId="33D8BCB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2F0EF665" w14:textId="19FD974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641B3DF8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483DFE8" w14:textId="04254E94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tcBorders>
              <w:top w:val="double" w:sz="6" w:space="0" w:color="auto"/>
              <w:bottom w:val="single" w:sz="4" w:space="0" w:color="auto"/>
            </w:tcBorders>
          </w:tcPr>
          <w:p w14:paraId="24020070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BD77F4F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231956E" w14:textId="153BE380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49EDFBAD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0F86A6C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34" w:type="dxa"/>
            <w:vAlign w:val="center"/>
          </w:tcPr>
          <w:p w14:paraId="15177965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18" w:type="dxa"/>
            <w:vAlign w:val="center"/>
          </w:tcPr>
          <w:p w14:paraId="4098C818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04127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98DB1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691AF320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5B6B8F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9DCE8A6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34" w:type="dxa"/>
            <w:vAlign w:val="center"/>
          </w:tcPr>
          <w:p w14:paraId="3AD6091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40286B16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69A104C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140512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7B772F3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35F84B9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1C3A1C4D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34" w:type="dxa"/>
            <w:vAlign w:val="center"/>
          </w:tcPr>
          <w:p w14:paraId="7C5C772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02543AC9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745FF13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FB657D4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3154201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EA652F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02735E7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34" w:type="dxa"/>
            <w:vAlign w:val="center"/>
          </w:tcPr>
          <w:p w14:paraId="1EFAAF21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121D4090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074287F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65E1C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4594204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2286CB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2DC91F5A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34" w:type="dxa"/>
            <w:vAlign w:val="center"/>
          </w:tcPr>
          <w:p w14:paraId="17C488D4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69C1EB47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4F6C00D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D68660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29202B4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334BC50" w14:textId="77777777" w:rsidR="00446C26" w:rsidRDefault="0074340F" w:rsidP="00446C26">
      <w:pPr>
        <w:tabs>
          <w:tab w:val="left" w:pos="0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10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E6A707B" w14:textId="72ABC86C" w:rsidR="00DB7D27" w:rsidRPr="00500E8C" w:rsidRDefault="0074340F" w:rsidP="00446C26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 w:rsidR="00804014"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sectPr w:rsidR="00DB7D27" w:rsidRPr="00500E8C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7805" w14:textId="2EBBB26B" w:rsidR="004A3378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>Mono Ethylene glycol (MEG polyester grade) iis2</w:t>
    </w:r>
    <w:r w:rsidR="00D26C2C">
      <w:rPr>
        <w:rFonts w:ascii="Arial" w:hAnsi="Arial" w:cs="Arial"/>
      </w:rPr>
      <w:t>4</w:t>
    </w:r>
    <w:r w:rsidR="00763888">
      <w:rPr>
        <w:rFonts w:ascii="Arial" w:hAnsi="Arial" w:cs="Arial"/>
      </w:rPr>
      <w:t>C1</w:t>
    </w:r>
    <w:r w:rsidR="0045147C">
      <w:rPr>
        <w:rFonts w:ascii="Arial" w:hAnsi="Arial" w:cs="Arial"/>
      </w:rPr>
      <w:t>0</w:t>
    </w:r>
    <w:r w:rsidR="00763888">
      <w:rPr>
        <w:rFonts w:ascii="Arial" w:hAnsi="Arial" w:cs="Arial"/>
      </w:rPr>
      <w:t xml:space="preserve"> </w:t>
    </w:r>
    <w:r w:rsidR="00763888"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63888">
      <w:rPr>
        <w:rFonts w:ascii="Arial" w:hAnsi="Arial" w:cs="Arial"/>
      </w:rPr>
      <w:tab/>
    </w:r>
  </w:p>
  <w:p w14:paraId="71A54A43" w14:textId="3875BB35" w:rsidR="00F1287D" w:rsidRPr="00511573" w:rsidRDefault="004A337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1374F1">
      <w:rPr>
        <w:rFonts w:ascii="Arial" w:hAnsi="Arial" w:cs="Arial"/>
        <w:szCs w:val="24"/>
      </w:rPr>
      <w:t>lab code:</w:t>
    </w:r>
  </w:p>
  <w:p w14:paraId="6D1EDFE0" w14:textId="53321A6A" w:rsidR="00F1287D" w:rsidRDefault="0019185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C9B0C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EA082FC" w14:textId="0FBD9430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574B8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0574B8">
      <w:rPr>
        <w:rFonts w:ascii="Arial" w:hAnsi="Arial" w:cs="Arial"/>
        <w:sz w:val="20"/>
        <w:lang w:val="en-GB"/>
      </w:rPr>
      <w:t>, BSc</w:t>
    </w:r>
  </w:p>
  <w:p w14:paraId="5ECDBBF6" w14:textId="2401EC62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DBB998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0574B8">
      <w:rPr>
        <w:rFonts w:ascii="Arial" w:hAnsi="Arial" w:cs="Arial"/>
        <w:b/>
        <w:sz w:val="22"/>
        <w:szCs w:val="22"/>
      </w:rPr>
      <w:t>18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011E5">
      <w:rPr>
        <w:rFonts w:ascii="Arial" w:hAnsi="Arial" w:cs="Arial"/>
        <w:b/>
        <w:sz w:val="22"/>
        <w:szCs w:val="22"/>
      </w:rPr>
      <w:t>2</w:t>
    </w:r>
    <w:r w:rsidR="000574B8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574B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744561">
    <w:abstractNumId w:val="2"/>
  </w:num>
  <w:num w:numId="2" w16cid:durableId="1790394522">
    <w:abstractNumId w:val="6"/>
  </w:num>
  <w:num w:numId="3" w16cid:durableId="865749574">
    <w:abstractNumId w:val="4"/>
  </w:num>
  <w:num w:numId="4" w16cid:durableId="202639187">
    <w:abstractNumId w:val="8"/>
  </w:num>
  <w:num w:numId="5" w16cid:durableId="1886793162">
    <w:abstractNumId w:val="7"/>
  </w:num>
  <w:num w:numId="6" w16cid:durableId="134612191">
    <w:abstractNumId w:val="9"/>
  </w:num>
  <w:num w:numId="7" w16cid:durableId="2047751427">
    <w:abstractNumId w:val="5"/>
  </w:num>
  <w:num w:numId="8" w16cid:durableId="1572957678">
    <w:abstractNumId w:val="3"/>
  </w:num>
  <w:num w:numId="9" w16cid:durableId="1829636621">
    <w:abstractNumId w:val="0"/>
  </w:num>
  <w:num w:numId="10" w16cid:durableId="15850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E5"/>
    <w:rsid w:val="0000576F"/>
    <w:rsid w:val="0000679C"/>
    <w:rsid w:val="00023BF6"/>
    <w:rsid w:val="0003458D"/>
    <w:rsid w:val="000356B6"/>
    <w:rsid w:val="000423C9"/>
    <w:rsid w:val="000574B8"/>
    <w:rsid w:val="00057789"/>
    <w:rsid w:val="00060E74"/>
    <w:rsid w:val="00061D6A"/>
    <w:rsid w:val="00065D6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1220"/>
    <w:rsid w:val="0019185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3E0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27E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0ADD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41217"/>
    <w:rsid w:val="00441A81"/>
    <w:rsid w:val="0044441B"/>
    <w:rsid w:val="00446C26"/>
    <w:rsid w:val="0045147C"/>
    <w:rsid w:val="00453144"/>
    <w:rsid w:val="00454430"/>
    <w:rsid w:val="00454D3A"/>
    <w:rsid w:val="004658E7"/>
    <w:rsid w:val="00474E14"/>
    <w:rsid w:val="00496456"/>
    <w:rsid w:val="0049693F"/>
    <w:rsid w:val="004A3378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0E8C"/>
    <w:rsid w:val="00504514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5D9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34D1"/>
    <w:rsid w:val="00642711"/>
    <w:rsid w:val="00652D38"/>
    <w:rsid w:val="00654257"/>
    <w:rsid w:val="00655CC9"/>
    <w:rsid w:val="00655EAC"/>
    <w:rsid w:val="006565F0"/>
    <w:rsid w:val="00666591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4014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0F4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669B"/>
    <w:rsid w:val="009B56D8"/>
    <w:rsid w:val="009C1DE8"/>
    <w:rsid w:val="009C3A76"/>
    <w:rsid w:val="009C78DD"/>
    <w:rsid w:val="009D7C1A"/>
    <w:rsid w:val="009E31E5"/>
    <w:rsid w:val="009E39B9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CC8"/>
    <w:rsid w:val="00C56FC3"/>
    <w:rsid w:val="00C61B79"/>
    <w:rsid w:val="00C75DFE"/>
    <w:rsid w:val="00C84494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301"/>
    <w:rsid w:val="00CE5E40"/>
    <w:rsid w:val="00CF1251"/>
    <w:rsid w:val="00CF2290"/>
    <w:rsid w:val="00D05886"/>
    <w:rsid w:val="00D162FE"/>
    <w:rsid w:val="00D1691F"/>
    <w:rsid w:val="00D23E84"/>
    <w:rsid w:val="00D26479"/>
    <w:rsid w:val="00D26C2C"/>
    <w:rsid w:val="00D3010A"/>
    <w:rsid w:val="00D35909"/>
    <w:rsid w:val="00D472BC"/>
    <w:rsid w:val="00D52984"/>
    <w:rsid w:val="00D56275"/>
    <w:rsid w:val="00D5706B"/>
    <w:rsid w:val="00D61485"/>
    <w:rsid w:val="00D7144C"/>
    <w:rsid w:val="00D73AC5"/>
    <w:rsid w:val="00D74E9B"/>
    <w:rsid w:val="00D80436"/>
    <w:rsid w:val="00D8152B"/>
    <w:rsid w:val="00D82C3B"/>
    <w:rsid w:val="00D83644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152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2540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2023-08-22T09:48:00Z</dcterms:created>
  <dcterms:modified xsi:type="dcterms:W3CDTF">2024-08-27T08:54:00Z</dcterms:modified>
</cp:coreProperties>
</file>